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C4F14" w:rsidP="00701441">
            <w:pPr>
              <w:ind w:firstLine="176"/>
            </w:pPr>
            <w:r w:rsidRPr="009C4F14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  <w:lang w:val="ru-RU" w:eastAsia="ru-RU" w:bidi="ru-RU"/>
              </w:rPr>
              <w:drawing>
                <wp:anchor distT="0" distB="0" distL="114300" distR="114300" simplePos="0" relativeHeight="251659264" behindDoc="0" locked="0" layoutInCell="1" allowOverlap="1" wp14:anchorId="19CFCB3A" wp14:editId="53B42019">
                  <wp:simplePos x="0" y="0"/>
                  <wp:positionH relativeFrom="character">
                    <wp:posOffset>-5080</wp:posOffset>
                  </wp:positionH>
                  <wp:positionV relativeFrom="line">
                    <wp:posOffset>154940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C4F14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D5DEA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C4F14" w:rsidRPr="009C4F14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893AEA" w:rsidRPr="00795572" w:rsidRDefault="00893AEA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AEA" w:rsidRDefault="00C27E1C" w:rsidP="00893AE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893AEA" w:rsidP="00893AE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893AEA" w:rsidRPr="00893AEA" w:rsidRDefault="00893AEA" w:rsidP="00893AE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893AEA" w:rsidP="00893A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C4F14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специальности</w:t>
      </w: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212"/>
        <w:gridCol w:w="2423"/>
        <w:gridCol w:w="1233"/>
        <w:gridCol w:w="1754"/>
        <w:gridCol w:w="32"/>
        <w:gridCol w:w="1219"/>
        <w:gridCol w:w="2114"/>
        <w:gridCol w:w="423"/>
        <w:gridCol w:w="682"/>
        <w:gridCol w:w="6"/>
        <w:gridCol w:w="6"/>
        <w:gridCol w:w="6"/>
        <w:gridCol w:w="6"/>
      </w:tblGrid>
      <w:tr w:rsidR="00BD3061" w:rsidRPr="009C4F14" w:rsidTr="004B3338">
        <w:trPr>
          <w:trHeight w:val="500"/>
        </w:trPr>
        <w:tc>
          <w:tcPr>
            <w:tcW w:w="1013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3061" w:rsidRPr="009C4F14" w:rsidTr="004B33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3061" w:rsidRPr="00410927" w:rsidRDefault="00410927" w:rsidP="004B333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10927">
                    <w:rPr>
                      <w:b/>
                      <w:color w:val="000000"/>
                      <w:sz w:val="28"/>
                      <w:lang w:val="ru-RU"/>
                    </w:rPr>
                    <w:t xml:space="preserve">40.02.04 </w:t>
                  </w:r>
                  <w:r w:rsidR="00893A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Юриспруденция</w:t>
                  </w:r>
                </w:p>
                <w:p w:rsidR="00BD3061" w:rsidRPr="00410927" w:rsidRDefault="00893AEA" w:rsidP="00893AE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(направление: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893AEA">
                    <w:rPr>
                      <w:sz w:val="28"/>
                      <w:szCs w:val="28"/>
                      <w:lang w:val="ru-RU"/>
                    </w:rPr>
                    <w:t>Юрист в социальной сфере</w:t>
                  </w:r>
                  <w:r>
                    <w:rPr>
                      <w:sz w:val="28"/>
                      <w:szCs w:val="28"/>
                      <w:lang w:val="ru-RU"/>
                    </w:rPr>
                    <w:t>)</w:t>
                  </w:r>
                  <w:proofErr w:type="gramEnd"/>
                </w:p>
              </w:tc>
            </w:tr>
          </w:tbl>
          <w:p w:rsidR="00BD3061" w:rsidRPr="00410927" w:rsidRDefault="00BD3061" w:rsidP="004B33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</w:tr>
      <w:tr w:rsidR="00BD3061" w:rsidRPr="009C4F14" w:rsidTr="004B3338">
        <w:trPr>
          <w:trHeight w:val="347"/>
        </w:trPr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2422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1232" w:type="dxa"/>
          </w:tcPr>
          <w:p w:rsidR="00BD3061" w:rsidRPr="00410927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53" w:type="dxa"/>
          </w:tcPr>
          <w:p w:rsidR="00BD3061" w:rsidRPr="00410927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BD3061" w:rsidRPr="00410927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dxa"/>
          </w:tcPr>
          <w:p w:rsidR="00BD3061" w:rsidRPr="004B3338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:rsidR="00BD3061" w:rsidRPr="00410927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3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82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</w:tr>
      <w:tr w:rsidR="00BD3061" w:rsidRPr="00921062" w:rsidTr="004B3338">
        <w:trPr>
          <w:trHeight w:val="425"/>
        </w:trPr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3061" w:rsidRPr="00410927" w:rsidRDefault="00BD3061" w:rsidP="004B3338">
            <w:pPr>
              <w:pStyle w:val="EmptyLayoutCell"/>
              <w:rPr>
                <w:lang w:val="ru-RU"/>
              </w:rPr>
            </w:pPr>
          </w:p>
        </w:tc>
        <w:tc>
          <w:tcPr>
            <w:tcW w:w="1012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3061" w:rsidRPr="00921062" w:rsidTr="004B33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338" w:rsidRDefault="004B3338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валификация</w:t>
                  </w:r>
                  <w:proofErr w:type="spellEnd"/>
                  <w:r w:rsidR="00BD3061" w:rsidRPr="0092106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выпускника</w:t>
                  </w:r>
                  <w:proofErr w:type="spellEnd"/>
                  <w:r w:rsidR="00BD3061" w:rsidRPr="009210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BD3061" w:rsidRPr="00D42F16" w:rsidRDefault="00BD3061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42F16">
                    <w:rPr>
                      <w:color w:val="000000"/>
                      <w:sz w:val="28"/>
                      <w:szCs w:val="28"/>
                      <w:lang w:val="ru-RU"/>
                    </w:rPr>
                    <w:t>Юрист</w:t>
                  </w:r>
                </w:p>
                <w:p w:rsidR="00BD3061" w:rsidRPr="00921062" w:rsidRDefault="00BD3061" w:rsidP="004B333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</w:tr>
    </w:tbl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9C4F14">
        <w:rPr>
          <w:sz w:val="28"/>
          <w:szCs w:val="28"/>
          <w:lang w:val="ru-RU"/>
        </w:rPr>
        <w:t>5</w:t>
      </w:r>
    </w:p>
    <w:p w:rsidR="009757F0" w:rsidRDefault="009757F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9C4F14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C4F14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B3338" w:rsidRDefault="00BB7F05" w:rsidP="00893AEA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893AEA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171033" w:rsidRPr="00CE4905">
                    <w:rPr>
                      <w:color w:val="000000"/>
                      <w:sz w:val="28"/>
                      <w:lang w:val="ru-RU"/>
                    </w:rPr>
                    <w:t>40.02.0</w:t>
                  </w:r>
                  <w:r w:rsidR="00171033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171033" w:rsidRPr="00CE490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93A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Юриспруденция </w:t>
                  </w:r>
                  <w:r w:rsidR="00893AEA">
                    <w:rPr>
                      <w:sz w:val="28"/>
                      <w:szCs w:val="28"/>
                      <w:lang w:val="ru-RU"/>
                    </w:rPr>
                    <w:t>(направление:</w:t>
                  </w:r>
                  <w:proofErr w:type="gramEnd"/>
                  <w:r w:rsidR="00893AE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93AEA" w:rsidRPr="00893AEA">
                    <w:rPr>
                      <w:sz w:val="28"/>
                      <w:szCs w:val="28"/>
                      <w:lang w:val="ru-RU"/>
                    </w:rPr>
                    <w:t>Юрист в социальной сфере</w:t>
                  </w:r>
                  <w:r w:rsidR="00893AEA">
                    <w:rPr>
                      <w:sz w:val="28"/>
                      <w:szCs w:val="28"/>
                      <w:lang w:val="ru-RU"/>
                    </w:rPr>
                    <w:t xml:space="preserve">), </w:t>
                  </w:r>
                  <w:r w:rsidR="00893A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71033" w:rsidRPr="00CE4905">
                    <w:rPr>
                      <w:color w:val="000000"/>
                      <w:sz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9C4F14" w:rsidRPr="009C4F1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9C4F14" w:rsidRPr="009C4F1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</w:t>
                  </w:r>
                  <w:r w:rsidR="009C4F14" w:rsidRPr="009C4F14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 </w:t>
                  </w:r>
                  <w:r w:rsidR="00171033">
                    <w:rPr>
                      <w:color w:val="000000"/>
                      <w:sz w:val="28"/>
                      <w:lang w:val="ru-RU"/>
                    </w:rPr>
                    <w:t xml:space="preserve">от </w:t>
                  </w:r>
                  <w:r w:rsidR="00893AEA">
                    <w:rPr>
                      <w:color w:val="000000"/>
                      <w:sz w:val="28"/>
                      <w:lang w:val="ru-RU"/>
                    </w:rPr>
                    <w:t>27.10.2023 г. №798.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9C4F14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9C4F14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C4F14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C4F14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C4F14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93AEA" w:rsidRPr="00452C82" w:rsidRDefault="00893AEA" w:rsidP="00893AEA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893AE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893AEA" w:rsidRPr="00893AEA">
        <w:rPr>
          <w:color w:val="000000"/>
          <w:sz w:val="28"/>
          <w:lang w:val="ru-RU"/>
        </w:rPr>
        <w:t xml:space="preserve"> </w:t>
      </w:r>
      <w:r w:rsidR="00893AEA" w:rsidRPr="007A3545">
        <w:rPr>
          <w:color w:val="000000"/>
          <w:sz w:val="28"/>
          <w:lang w:val="ru-RU"/>
        </w:rPr>
        <w:t>общеобразовательной</w:t>
      </w:r>
      <w:r w:rsidR="00893AEA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893AEA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9C4F14" w:rsidRPr="009C4F14">
        <w:rPr>
          <w:sz w:val="28"/>
          <w:szCs w:val="28"/>
          <w:lang w:val="ru-RU"/>
        </w:rPr>
        <w:t>28 мая 2025 г. № 9.</w:t>
      </w:r>
      <w:bookmarkStart w:id="0" w:name="_GoBack"/>
      <w:bookmarkEnd w:id="0"/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893AEA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4B3338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031B5C" w:rsidRPr="00031B5C" w:rsidRDefault="001E1F45" w:rsidP="004B3338">
      <w:pPr>
        <w:spacing w:line="360" w:lineRule="auto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Общеобразовательная дисциплина </w:t>
      </w:r>
      <w:r w:rsidR="00893AE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171033" w:rsidRPr="00CE4905">
        <w:rPr>
          <w:color w:val="000000"/>
          <w:sz w:val="28"/>
          <w:lang w:val="ru-RU"/>
        </w:rPr>
        <w:t>40.02.0</w:t>
      </w:r>
      <w:r w:rsidR="00171033">
        <w:rPr>
          <w:color w:val="000000"/>
          <w:sz w:val="28"/>
          <w:lang w:val="ru-RU"/>
        </w:rPr>
        <w:t>4</w:t>
      </w:r>
      <w:r w:rsidR="00171033" w:rsidRPr="00CE4905">
        <w:rPr>
          <w:color w:val="000000"/>
          <w:sz w:val="28"/>
          <w:lang w:val="ru-RU"/>
        </w:rPr>
        <w:t xml:space="preserve"> </w:t>
      </w:r>
      <w:r w:rsidR="00893AEA">
        <w:rPr>
          <w:color w:val="000000"/>
          <w:sz w:val="28"/>
          <w:szCs w:val="28"/>
          <w:lang w:val="ru-RU"/>
        </w:rPr>
        <w:t xml:space="preserve">Юриспруденция </w:t>
      </w:r>
      <w:r w:rsidR="00893AEA">
        <w:rPr>
          <w:sz w:val="28"/>
          <w:szCs w:val="28"/>
          <w:lang w:val="ru-RU"/>
        </w:rPr>
        <w:t>(направление:</w:t>
      </w:r>
      <w:proofErr w:type="gramEnd"/>
      <w:r w:rsidR="00893AEA">
        <w:rPr>
          <w:sz w:val="28"/>
          <w:szCs w:val="28"/>
          <w:lang w:val="ru-RU"/>
        </w:rPr>
        <w:t xml:space="preserve"> </w:t>
      </w:r>
      <w:proofErr w:type="gramStart"/>
      <w:r w:rsidR="00893AEA" w:rsidRPr="00893AEA">
        <w:rPr>
          <w:sz w:val="28"/>
          <w:szCs w:val="28"/>
          <w:lang w:val="ru-RU"/>
        </w:rPr>
        <w:t>Юрист в социальной сфере</w:t>
      </w:r>
      <w:r w:rsidR="00893AEA">
        <w:rPr>
          <w:sz w:val="28"/>
          <w:szCs w:val="28"/>
          <w:lang w:val="ru-RU"/>
        </w:rPr>
        <w:t>)</w:t>
      </w:r>
      <w:proofErr w:type="gramEnd"/>
    </w:p>
    <w:p w:rsidR="00A20BA9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893AE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893AEA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893AEA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9C4F14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893AEA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893AEA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9C4F14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9C4F1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C4F14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C4F14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C4F14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9C4F14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9C4F14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C4F14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354575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354575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C4F14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354575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354575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9C4F14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C4F14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C4F14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9C4F14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9C4F14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9C4F14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893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9C4F14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9C4F1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9C4F1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9C4F1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9C4F1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9C4F1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9C4F14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9C4F14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9C4F14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9C4F14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9C4F14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75" w:rsidRDefault="00354575" w:rsidP="0008408D">
      <w:r>
        <w:separator/>
      </w:r>
    </w:p>
  </w:endnote>
  <w:endnote w:type="continuationSeparator" w:id="0">
    <w:p w:rsidR="00354575" w:rsidRDefault="00354575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54575" w:rsidRDefault="003545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F14" w:rsidRPr="009C4F14">
          <w:rPr>
            <w:noProof/>
            <w:lang w:val="ru-RU"/>
          </w:rPr>
          <w:t>2</w:t>
        </w:r>
        <w:r>
          <w:fldChar w:fldCharType="end"/>
        </w:r>
      </w:p>
    </w:sdtContent>
  </w:sdt>
  <w:p w:rsidR="00354575" w:rsidRDefault="003545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75" w:rsidRDefault="00354575" w:rsidP="0008408D">
      <w:r>
        <w:separator/>
      </w:r>
    </w:p>
  </w:footnote>
  <w:footnote w:type="continuationSeparator" w:id="0">
    <w:p w:rsidR="00354575" w:rsidRDefault="00354575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71033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4D88"/>
    <w:rsid w:val="002B577E"/>
    <w:rsid w:val="002D5DEA"/>
    <w:rsid w:val="0030617A"/>
    <w:rsid w:val="003172CE"/>
    <w:rsid w:val="00344246"/>
    <w:rsid w:val="00354575"/>
    <w:rsid w:val="0037177E"/>
    <w:rsid w:val="0037272E"/>
    <w:rsid w:val="0039101F"/>
    <w:rsid w:val="003B4B43"/>
    <w:rsid w:val="003D6F97"/>
    <w:rsid w:val="003E58A5"/>
    <w:rsid w:val="003F1CBC"/>
    <w:rsid w:val="0040314C"/>
    <w:rsid w:val="00410927"/>
    <w:rsid w:val="004325D5"/>
    <w:rsid w:val="004465CB"/>
    <w:rsid w:val="00450D21"/>
    <w:rsid w:val="004A3F32"/>
    <w:rsid w:val="004B3338"/>
    <w:rsid w:val="004D724A"/>
    <w:rsid w:val="004E41DB"/>
    <w:rsid w:val="004E5253"/>
    <w:rsid w:val="004F77B4"/>
    <w:rsid w:val="005076C5"/>
    <w:rsid w:val="00524AB8"/>
    <w:rsid w:val="00585DB3"/>
    <w:rsid w:val="005B5486"/>
    <w:rsid w:val="005D14D6"/>
    <w:rsid w:val="005E166C"/>
    <w:rsid w:val="005E7550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93AEA"/>
    <w:rsid w:val="008C4A9B"/>
    <w:rsid w:val="009004BB"/>
    <w:rsid w:val="00901BF9"/>
    <w:rsid w:val="00942C3C"/>
    <w:rsid w:val="00942E38"/>
    <w:rsid w:val="009757F0"/>
    <w:rsid w:val="00987523"/>
    <w:rsid w:val="00995A8D"/>
    <w:rsid w:val="009A3458"/>
    <w:rsid w:val="009A3510"/>
    <w:rsid w:val="009B42C8"/>
    <w:rsid w:val="009C4F14"/>
    <w:rsid w:val="009E07C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B13F1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8441-FA87-46AB-A01C-E2109E89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17</cp:revision>
  <dcterms:created xsi:type="dcterms:W3CDTF">2023-06-05T08:22:00Z</dcterms:created>
  <dcterms:modified xsi:type="dcterms:W3CDTF">2025-08-11T03:24:00Z</dcterms:modified>
</cp:coreProperties>
</file>